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我们如何利用工业废热</w:t>
      </w:r>
    </w:p>
    <w:p>
      <w:r>
        <w:rPr>
          <w:rFonts w:ascii="宋体" w:hAnsi="宋体" w:eastAsia="宋体"/>
          <w:sz w:val="24"/>
        </w:rPr>
        <w:t>（苏）别特里克夫（К.Петриков），（苏）谢维也夫（Е.Шевьев）著；彭守正译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我们如何利用工业废热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（苏）别特里克夫（К.Петриков），（苏）谢维也夫（Е.Шевьев）著；彭守正译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本书出售、求购地址：https://www.jiaokey.com/book/detail/12382505.html</w:t>
      </w:r>
    </w:p>
    <w:p>
      <w:r>
        <w:t>更多相关图书推荐：https://www.jiaokey.com</w:t>
      </w:r>
    </w:p>
    <w:p>
      <w:r>
        <w:t>（苏）别特里克夫（К.Петриков），（苏）谢维也夫（Е.Шевьев）著；彭守正译 其他作品：https://www.jiaokey.com/tag/（苏）别特里克夫（К.Петриков），（苏）谢维也夫（Е.Шевьев）著；彭守正译.html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关键词搜索：https://www.jiaokey.com/tag/我们如何利用工业废热.html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