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刚柔流空手基本型</w:t>
      </w:r>
    </w:p>
    <w:p>
      <w:r>
        <w:rPr>
          <w:rFonts w:ascii="宋体" w:hAnsi="宋体" w:eastAsia="宋体"/>
          <w:sz w:val="24"/>
        </w:rPr>
        <w:t>东恩纳，盛男著；刘祥琪译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刚柔流空手基本型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东恩纳，盛男著；刘祥琪译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本书出售、求购地址：https://www.jiaokey.com/book/detail/12382498.html</w:t>
      </w:r>
    </w:p>
    <w:p>
      <w:r>
        <w:t>更多相关图书推荐：https://www.jiaokey.com</w:t>
      </w:r>
    </w:p>
    <w:p>
      <w:r>
        <w:t>东恩纳，盛男著；刘祥琪译 其他作品：https://www.jiaokey.com/tag/东恩纳，盛男著；刘祥琪译.html</w:t>
      </w:r>
    </w:p>
    <w:p>
      <w:r>
        <w:t>益群书店 出版图书：https://www.jiaokey.com/tag/益群书店.html</w:t>
      </w:r>
    </w:p>
    <w:p>
      <w:r>
        <w:t>关键词搜索：https://www.jiaokey.com/tag/刚柔流空手基本型.html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