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图解空手道型全集  高级篇</w:t>
      </w:r>
    </w:p>
    <w:p>
      <w:r>
        <w:rPr>
          <w:rFonts w:ascii="宋体" w:hAnsi="宋体" w:eastAsia="宋体"/>
          <w:sz w:val="24"/>
        </w:rPr>
        <w:t>金泽弘和著；陈瑞隆编译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图解空手道型全集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金泽弘和著；陈瑞隆编译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本书出售、求购地址：https://www.jiaokey.com/book/detail/12382391.html</w:t>
      </w:r>
    </w:p>
    <w:p>
      <w:r>
        <w:t>更多相关图书推荐：https://www.jiaokey.com</w:t>
      </w:r>
    </w:p>
    <w:p>
      <w:r>
        <w:t>金泽弘和著；陈瑞隆编译 其他作品：https://www.jiaokey.com/tag/金泽弘和著；陈瑞隆编译.html</w:t>
      </w:r>
    </w:p>
    <w:p>
      <w:r>
        <w:t>关键词搜索：https://www.jiaokey.com/tag/图解空手道型全集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