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对俄罗斯联邦民族学校适用的俄语和文学教科书的标准要求</w:t>
      </w:r>
    </w:p>
    <w:p>
      <w:r>
        <w:rPr>
          <w:rFonts w:ascii="宋体" w:hAnsi="宋体" w:eastAsia="宋体"/>
          <w:sz w:val="24"/>
        </w:rPr>
        <w:t>中华人民共和国教育部民族教育司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对俄罗斯联邦民族学校适用的俄语和文学教科书的标准要求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中华人民共和国教育部民族教育司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本书出售、求购地址：https://www.jiaokey.com/book/detail/12379216.html</w:t>
      </w:r>
    </w:p>
    <w:p>
      <w:r>
        <w:t>更多相关图书推荐：https://www.jiaokey.com</w:t>
      </w:r>
    </w:p>
    <w:p>
      <w:r>
        <w:t>中华人民共和国教育部民族教育司 其他作品：https://www.jiaokey.com/tag/中华人民共和国教育部民族教育司.html</w:t>
      </w:r>
    </w:p>
    <w:p>
      <w:r>
        <w:t>关键词搜索：https://www.jiaokey.com/tag/对俄罗斯联邦民族学校适用的俄语和文学教科书的标准要求.html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