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机车车辆业务的焊接热处理和化学热处理</w:t>
      </w:r>
    </w:p>
    <w:p>
      <w:r>
        <w:rPr>
          <w:rFonts w:ascii="宋体" w:hAnsi="宋体" w:eastAsia="宋体"/>
          <w:sz w:val="24"/>
        </w:rPr>
        <w:t>苏联铁路员工技术手册编纂委员会编；宋红，杨永文译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机车车辆业务的焊接热处理和化学热处理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苏联铁路员工技术手册编纂委员会编；宋红，杨永文译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本书出售、求购地址：https://www.jiaokey.com/book/detail/12375715.html</w:t>
      </w:r>
    </w:p>
    <w:p>
      <w:r>
        <w:t>更多相关图书推荐：https://www.jiaokey.com</w:t>
      </w:r>
    </w:p>
    <w:p>
      <w:r>
        <w:t>苏联铁路员工技术手册编纂委员会编；宋红，杨永文译 其他作品：https://www.jiaokey.com/tag/苏联铁路员工技术手册编纂委员会编；宋红，杨永文译.html</w:t>
      </w:r>
    </w:p>
    <w:p>
      <w:r>
        <w:t>人民铁道出版社 出版图书：https://www.jiaokey.com/tag/人民铁道出版社.html</w:t>
      </w:r>
    </w:p>
    <w:p>
      <w:r>
        <w:t>关键词搜索：https://www.jiaokey.com/tag/机车车辆业务的焊接热处理和化学热处理.html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