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资本市场创新与风险管理  主要参考文献  《金融研究》  2008  上</w:t>
      </w:r>
    </w:p>
    <w:p>
      <w:r>
        <w:rPr>
          <w:rFonts w:ascii="宋体" w:hAnsi="宋体" w:eastAsia="宋体"/>
          <w:sz w:val="24"/>
        </w:rPr>
        <w:t>中南财经政法大学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资本市场创新与风险管理  主要参考文献  《金融研究》  2008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中南财经政法大学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本书出售、求购地址：https://www.jiaokey.com/book/detail/12374532.html</w:t>
      </w:r>
    </w:p>
    <w:p>
      <w:r>
        <w:t>更多相关图书推荐：https://www.jiaokey.com</w:t>
      </w:r>
    </w:p>
    <w:p>
      <w:r>
        <w:t>中南财经政法大学 其他作品：https://www.jiaokey.com/tag/中南财经政法大学.html</w:t>
      </w:r>
    </w:p>
    <w:p>
      <w:r>
        <w:t>关键词搜索：https://www.jiaokey.com/tag/资本市场创新与风险管理  主要参考文献  《金融研究》  2008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