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米邱林育种法</w:t>
      </w:r>
    </w:p>
    <w:p>
      <w:r>
        <w:rPr>
          <w:rFonts w:ascii="宋体" w:hAnsi="宋体" w:eastAsia="宋体"/>
          <w:sz w:val="24"/>
        </w:rPr>
        <w:t>（苏）柯哲里，漆莫费耶夫合著；罗颖之译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米邱林育种法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（苏）柯哲里，漆莫费耶夫合著；罗颖之译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本书出售、求购地址：https://www.jiaokey.com/book/detail/12374110.html</w:t>
      </w:r>
    </w:p>
    <w:p>
      <w:r>
        <w:t>更多相关图书推荐：https://www.jiaokey.com</w:t>
      </w:r>
    </w:p>
    <w:p>
      <w:r>
        <w:t>（苏）柯哲里，漆莫费耶夫合著；罗颖之译 其他作品：https://www.jiaokey.com/tag/（苏）柯哲里，漆莫费耶夫合著；罗颖之译.html</w:t>
      </w:r>
    </w:p>
    <w:p>
      <w:r>
        <w:t>湖南省农学院 出版图书：https://www.jiaokey.com/tag/湖南省农学院.html</w:t>
      </w:r>
    </w:p>
    <w:p>
      <w:r>
        <w:t>关键词搜索：https://www.jiaokey.com/tag/米邱林育种法.html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