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我们五十万年前的祖先</w:t>
      </w:r>
    </w:p>
    <w:p>
      <w:r>
        <w:rPr>
          <w:rFonts w:ascii="宋体" w:hAnsi="宋体" w:eastAsia="宋体"/>
          <w:sz w:val="24"/>
        </w:rPr>
        <w:t>杨鹤汀绘图；贾兰坡说明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我们五十万年前的祖先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杨鹤汀绘图；贾兰坡说明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本书出售、求购地址：https://www.jiaokey.com/book/detail/12370346.html</w:t>
      </w:r>
    </w:p>
    <w:p>
      <w:r>
        <w:t>更多相关图书推荐：https://www.jiaokey.com</w:t>
      </w:r>
    </w:p>
    <w:p>
      <w:r>
        <w:t>杨鹤汀绘图；贾兰坡说明 其他作品：https://www.jiaokey.com/tag/杨鹤汀绘图；贾兰坡说明.html</w:t>
      </w:r>
    </w:p>
    <w:p>
      <w:r>
        <w:t>知识书店 出版图书：https://www.jiaokey.com/tag/知识书店.html</w:t>
      </w:r>
    </w:p>
    <w:p>
      <w:r>
        <w:t>关键词搜索：https://www.jiaokey.com/tag/我们五十万年前的祖先.html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