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葡萄酒及果酒酿造法</w:t>
      </w:r>
    </w:p>
    <w:p>
      <w:r>
        <w:rPr>
          <w:rFonts w:ascii="宋体" w:hAnsi="宋体" w:eastAsia="宋体"/>
          <w:sz w:val="24"/>
        </w:rPr>
        <w:t>（日）下濑川一郎著；曹沉思译述；谭勤余校订；殷师竹校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葡萄酒及果酒酿造法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（日）下濑川一郎著；曹沉思译述；谭勤余校订；殷师竹校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本书出售、求购地址：https://www.jiaokey.com/book/detail/12365709.html</w:t>
      </w:r>
    </w:p>
    <w:p>
      <w:r>
        <w:t>更多相关图书推荐：https://www.jiaokey.com</w:t>
      </w:r>
    </w:p>
    <w:p>
      <w:r>
        <w:t>（日）下濑川一郎著；曹沉思译述；谭勤余校订；殷师竹校 其他作品：https://www.jiaokey.com/tag/（日）下濑川一郎著；曹沉思译述；谭勤余校订；殷师竹校.html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关键词搜索：https://www.jiaokey.com/tag/葡萄酒及果酒酿造法.html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