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塑料在电气工业、无线电通讯和电视技术中的应用</w:t>
      </w:r>
    </w:p>
    <w:p>
      <w:r>
        <w:rPr>
          <w:rFonts w:ascii="宋体" w:hAnsi="宋体" w:eastAsia="宋体"/>
          <w:sz w:val="24"/>
        </w:rPr>
        <w:t>（苏）卡利特维斯基，В.И.等著；北京化学工业研究院技术经济研究室译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塑料在电气工业、无线电通讯和电视技术中的应用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（苏）卡利特维斯基，В.И.等著；北京化学工业研究院技术经济研究室译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本书出售、求购地址：https://www.jiaokey.com/book/detail/12361830.html</w:t>
      </w:r>
    </w:p>
    <w:p>
      <w:r>
        <w:t>更多相关图书推荐：https://www.jiaokey.com</w:t>
      </w:r>
    </w:p>
    <w:p>
      <w:r>
        <w:t>（苏）卡利特维斯基，В.И.等著；北京化学工业研究院技术经济研究室译 其他作品：https://www.jiaokey.com/tag/（苏）卡利特维斯基，В.И.等著；北京化学工业研究院技术经济研究室译.html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关键词搜索：https://www.jiaokey.com/tag/塑料在电气工业、无线电通讯和电视技术中的应用.html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