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我们周围的化学</w:t>
      </w:r>
    </w:p>
    <w:p>
      <w:r>
        <w:rPr>
          <w:rFonts w:ascii="宋体" w:hAnsi="宋体" w:eastAsia="宋体"/>
          <w:sz w:val="24"/>
        </w:rPr>
        <w:t>（苏）鲁宾士坦（А.М.Рубинштейн）撰；腾砥平译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我们周围的化学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（苏）鲁宾士坦（А.М.Рубинштейн）撰；腾砥平译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本书出售、求购地址：https://www.jiaokey.com/book/detail/12361226.html</w:t>
      </w:r>
    </w:p>
    <w:p>
      <w:r>
        <w:t>更多相关图书推荐：https://www.jiaokey.com</w:t>
      </w:r>
    </w:p>
    <w:p>
      <w:r>
        <w:t>（苏）鲁宾士坦（А.М.Рубинштейн）撰；腾砥平译 其他作品：https://www.jiaokey.com/tag/（苏）鲁宾士坦（А.М.Рубинштейн）撰；腾砥平译.html</w:t>
      </w:r>
    </w:p>
    <w:p>
      <w:r>
        <w:t>开明书店 出版图书：https://www.jiaokey.com/tag/开明书店.html</w:t>
      </w:r>
    </w:p>
    <w:p>
      <w:r>
        <w:t>关键词搜索：https://www.jiaokey.com/tag/我们周围的化学.html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