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把路线教育放在首位</w:t>
      </w:r>
    </w:p>
    <w:p>
      <w:r>
        <w:rPr>
          <w:rFonts w:ascii="宋体" w:hAnsi="宋体" w:eastAsia="宋体"/>
          <w:sz w:val="24"/>
        </w:rPr>
        <w:t>山西晋东南地区革委”五·七“干校编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把路线教育放在首位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山西晋东南地区革委”五·七“干校编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山西省晋东南地区革委“五·七”干校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本书出售、求购地址：https://www.jiaokey.com/book/detail/12360975.html</w:t>
      </w:r>
    </w:p>
    <w:p>
      <w:r>
        <w:t>更多相关图书推荐：https://www.jiaokey.com</w:t>
      </w:r>
    </w:p>
    <w:p>
      <w:r>
        <w:t>山西晋东南地区革委”五·七“干校编 其他作品：https://www.jiaokey.com/tag/山西晋东南地区革委”五·七“干校编.html</w:t>
      </w:r>
    </w:p>
    <w:p>
      <w:r>
        <w:t>山西省晋东南地区革委“五·七”干校 出版图书：https://www.jiaokey.com/tag/山西省晋东南地区革委“五·七”干校.html</w:t>
      </w:r>
    </w:p>
    <w:p>
      <w:r>
        <w:t>关键词搜索：https://www.jiaokey.com/tag/把路线教育放在首位.html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