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铁股金钢  四天获利20%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铁股金钢  四天获利20%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本书出售、求购地址：https://www.jiaokey.com/book/detail/12351292.html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关键词搜索：https://www.jiaokey.com/tag/铁股金钢  四天获利20%.html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