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区段货运和列车工作的节奏性</w:t>
      </w:r>
    </w:p>
    <w:p>
      <w:r>
        <w:rPr>
          <w:rFonts w:ascii="宋体" w:hAnsi="宋体" w:eastAsia="宋体"/>
          <w:sz w:val="24"/>
        </w:rPr>
        <w:t>（苏）郭斯迭利科（И.М.Костырко）著；严正之译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区段货运和列车工作的节奏性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（苏）郭斯迭利科（И.М.Костырко）著；严正之译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本书出售、求购地址：https://www.jiaokey.com/book/detail/12349210.html</w:t>
      </w:r>
    </w:p>
    <w:p>
      <w:r>
        <w:t>更多相关图书推荐：https://www.jiaokey.com</w:t>
      </w:r>
    </w:p>
    <w:p>
      <w:r>
        <w:t>（苏）郭斯迭利科（И.М.Костырко）著；严正之译 其他作品：https://www.jiaokey.com/tag/（苏）郭斯迭利科（И.М.Костырко）著；严正之译.html</w:t>
      </w:r>
    </w:p>
    <w:p>
      <w:r>
        <w:t>人民铁道出版社 出版图书：https://www.jiaokey.com/tag/人民铁道出版社.html</w:t>
      </w:r>
    </w:p>
    <w:p>
      <w:r>
        <w:t>关键词搜索：https://www.jiaokey.com/tag/区段货运和列车工作的节奏性.html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