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苏联经济基本任务</w:t>
      </w:r>
    </w:p>
    <w:p>
      <w:r>
        <w:rPr>
          <w:rFonts w:ascii="宋体" w:hAnsi="宋体" w:eastAsia="宋体"/>
          <w:sz w:val="24"/>
        </w:rPr>
        <w:t>（俄）葛马尤诺夫撰；关沐南译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苏联经济基本任务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（俄）葛马尤诺夫撰；关沐南译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本书出售、求购地址：https://www.jiaokey.com/book/detail/12347219.html</w:t>
      </w:r>
    </w:p>
    <w:p>
      <w:r>
        <w:t>更多相关图书推荐：https://www.jiaokey.com</w:t>
      </w:r>
    </w:p>
    <w:p>
      <w:r>
        <w:t>（俄）葛马尤诺夫撰；关沐南译 其他作品：https://www.jiaokey.com/tag/（俄）葛马尤诺夫撰；关沐南译.html</w:t>
      </w:r>
    </w:p>
    <w:p>
      <w:r>
        <w:t>火星社 出版图书：https://www.jiaokey.com/tag/火星社.html</w:t>
      </w:r>
    </w:p>
    <w:p>
      <w:r>
        <w:t>关键词搜索：https://www.jiaokey.com/tag/苏联经济基本任务.html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