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如何编制商品混凝土和钢筋混凝土制品工厂的工业财务计划</w:t>
      </w:r>
    </w:p>
    <w:p>
      <w:r>
        <w:rPr>
          <w:rFonts w:ascii="宋体" w:hAnsi="宋体" w:eastAsia="宋体"/>
          <w:sz w:val="24"/>
        </w:rPr>
        <w:t>（苏）卓金（Н.И.Зотин）著；黄成春译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如何编制商品混凝土和钢筋混凝土制品工厂的工业财务计划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（苏）卓金（Н.И.Зотин）著；黄成春译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本书出售、求购地址：https://www.jiaokey.com/book/detail/12347148.html</w:t>
      </w:r>
    </w:p>
    <w:p>
      <w:r>
        <w:t>更多相关图书推荐：https://www.jiaokey.com</w:t>
      </w:r>
    </w:p>
    <w:p>
      <w:r>
        <w:t>（苏）卓金（Н.И.Зотин）著；黄成春译 其他作品：https://www.jiaokey.com/tag/（苏）卓金（Н.И.Зотин）著；黄成春译.html</w:t>
      </w:r>
    </w:p>
    <w:p>
      <w:r>
        <w:t>北京：北京建筑工程出版社 出版图书：https://www.jiaokey.com/tag/北京：北京建筑工程出版社.html</w:t>
      </w:r>
    </w:p>
    <w:p>
      <w:r>
        <w:t>关键词搜索：https://www.jiaokey.com/tag/如何编制商品混凝土和钢筋混凝土制品工厂的工业财务计划.html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