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农业服务的改革与分权：政策框架</w:t>
      </w:r>
    </w:p>
    <w:p>
      <w:r>
        <w:rPr>
          <w:rFonts w:ascii="宋体" w:hAnsi="宋体" w:eastAsia="宋体"/>
          <w:sz w:val="24"/>
        </w:rPr>
        <w:t>Lawrence D.Smith著；潘薇，喻浩，徐小妹译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农业服务的改革与分权：政策框架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D.Smith著；潘薇，喻浩，徐小妹译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本书出售、求购地址：https://www.jiaokey.com/book/detail/12345679.html</w:t>
      </w:r>
    </w:p>
    <w:p>
      <w:r>
        <w:t>更多相关图书推荐：https://www.jiaokey.com</w:t>
      </w:r>
    </w:p>
    <w:p>
      <w:r>
        <w:t>Lawrence D.Smith著；潘薇，喻浩，徐小妹译 其他作品：https://www.jiaokey.com/tag/Lawrence D.Smith著；潘薇，喻浩，徐小妹译.html</w:t>
      </w:r>
    </w:p>
    <w:p>
      <w:r>
        <w:t>中国农业出版社 出版图书：https://www.jiaokey.com/tag/中国农业出版社.html</w:t>
      </w:r>
    </w:p>
    <w:p>
      <w:r>
        <w:t>关键词搜索：https://www.jiaokey.com/tag/农业服务的改革与分权：政策框架.html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