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新基本粒子观对话</w:t>
      </w:r>
    </w:p>
    <w:p>
      <w:r>
        <w:rPr>
          <w:rFonts w:ascii="宋体" w:hAnsi="宋体" w:eastAsia="宋体"/>
          <w:sz w:val="24"/>
        </w:rPr>
        <w:t>坂田昌一著；庆承瑞，柳树滋注释；张质贤译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新基本粒子观对话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坂田昌一著；庆承瑞，柳树滋注释；张质贤译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本书出售、求购地址：https://www.jiaokey.com/book/detail/12345512.html</w:t>
      </w:r>
    </w:p>
    <w:p>
      <w:r>
        <w:t>更多相关图书推荐：https://www.jiaokey.com</w:t>
      </w:r>
    </w:p>
    <w:p>
      <w:r>
        <w:t>坂田昌一著；庆承瑞，柳树滋注释；张质贤译 其他作品：https://www.jiaokey.com/tag/坂田昌一著；庆承瑞，柳树滋注释；张质贤译.html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关键词搜索：https://www.jiaokey.com/tag/新基本粒子观对话.html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