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苏联国家预算制度</w:t>
      </w:r>
    </w:p>
    <w:p>
      <w:r>
        <w:rPr>
          <w:rFonts w:ascii="宋体" w:hAnsi="宋体" w:eastAsia="宋体"/>
          <w:sz w:val="24"/>
        </w:rPr>
        <w:t>（俄）朴洛迪尼可夫撰；申谷译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苏联国家预算制度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（俄）朴洛迪尼可夫撰；申谷译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国际文化服务社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本书出售、求购地址：https://www.jiaokey.com/book/detail/12343252.html</w:t>
      </w:r>
    </w:p>
    <w:p>
      <w:r>
        <w:t>更多相关图书推荐：https://www.jiaokey.com</w:t>
      </w:r>
    </w:p>
    <w:p>
      <w:r>
        <w:t>（俄）朴洛迪尼可夫撰；申谷译 其他作品：https://www.jiaokey.com/tag/（俄）朴洛迪尼可夫撰；申谷译.html</w:t>
      </w:r>
    </w:p>
    <w:p>
      <w:r>
        <w:t>国际文化服务社 出版图书：https://www.jiaokey.com/tag/国际文化服务社.html</w:t>
      </w:r>
    </w:p>
    <w:p>
      <w:r>
        <w:t>关键词搜索：https://www.jiaokey.com/tag/苏联国家预算制度.html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