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重建本土性别政治：香港处理虐妻法律的后殖民论述</w:t>
      </w:r>
    </w:p>
    <w:p>
      <w:r>
        <w:rPr>
          <w:rFonts w:ascii="宋体" w:hAnsi="宋体" w:eastAsia="宋体"/>
          <w:sz w:val="24"/>
        </w:rPr>
        <w:t>赵文宗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重建本土性别政治：香港处理虐妻法律的后殖民论述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香港中文大学香港亚太研究所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本书出售、求购地址：https://www.jiaokey.com/book/detail/12342667.html</w:t>
      </w:r>
    </w:p>
    <w:p>
      <w:r>
        <w:t>更多相关图书推荐：https://www.jiaokey.com</w:t>
      </w:r>
    </w:p>
    <w:p>
      <w:r>
        <w:t>赵文宗 其他作品：https://www.jiaokey.com/tag/赵文宗.html</w:t>
      </w:r>
    </w:p>
    <w:p>
      <w:r>
        <w:t>香港中文大学香港亚太研究所 出版图书：https://www.jiaokey.com/tag/香港中文大学香港亚太研究所.html</w:t>
      </w:r>
    </w:p>
    <w:p>
      <w:r>
        <w:t>关键词搜索：https://www.jiaokey.com/tag/重建本土性别政治：香港处理虐妻法律的后殖民论述.html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