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解放以来全国民事、经济审判工作会议  政策文件选编</w:t>
      </w:r>
    </w:p>
    <w:p>
      <w:r>
        <w:rPr>
          <w:rFonts w:ascii="宋体" w:hAnsi="宋体" w:eastAsia="宋体"/>
          <w:sz w:val="24"/>
        </w:rPr>
        <w:t>云南政法专科学校民法教研室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解放以来全国民事、经济审判工作会议  政策文件选编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云南政法专科学校民法教研室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本书出售、求购地址：https://www.jiaokey.com/book/detail/12342592.html</w:t>
      </w:r>
    </w:p>
    <w:p>
      <w:r>
        <w:t>更多相关图书推荐：https://www.jiaokey.com</w:t>
      </w:r>
    </w:p>
    <w:p>
      <w:r>
        <w:t>云南政法专科学校民法教研室 其他作品：https://www.jiaokey.com/tag/云南政法专科学校民法教研室.html</w:t>
      </w:r>
    </w:p>
    <w:p>
      <w:r>
        <w:t>关键词搜索：https://www.jiaokey.com/tag/解放以来全国民事、经济审判工作会议  政策文件选编.html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