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起重机构造及原理</w:t>
      </w:r>
    </w:p>
    <w:p>
      <w:r>
        <w:rPr>
          <w:rFonts w:ascii="宋体" w:hAnsi="宋体" w:eastAsia="宋体"/>
          <w:sz w:val="24"/>
        </w:rPr>
        <w:t>西安冶金建筑学院，宝钢十二冶金结公司编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起重机构造及原理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西安冶金建筑学院，宝钢十二冶金结公司编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中国基本建设优化研究会工程机械分会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本书出售、求购地址：https://www.jiaokey.com/book/detail/12340153.html</w:t>
      </w:r>
    </w:p>
    <w:p>
      <w:r>
        <w:t>更多相关图书推荐：https://www.jiaokey.com</w:t>
      </w:r>
    </w:p>
    <w:p>
      <w:r>
        <w:t>西安冶金建筑学院，宝钢十二冶金结公司编 其他作品：https://www.jiaokey.com/tag/西安冶金建筑学院，宝钢十二冶金结公司编.html</w:t>
      </w:r>
    </w:p>
    <w:p>
      <w:r>
        <w:t>中国基本建设优化研究会工程机械分会 出版图书：https://www.jiaokey.com/tag/中国基本建设优化研究会工程机械分会.html</w:t>
      </w:r>
    </w:p>
    <w:p>
      <w:r>
        <w:t>关键词搜索：https://www.jiaokey.com/tag/起重机构造及原理.html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