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人力资源管理适用法律法规全案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人力资源管理适用法律法规全案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本书出售、求购地址：https://www.jiaokey.com/book/detail/12336691.html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关键词搜索：https://www.jiaokey.com/tag/人力资源管理适用法律法规全案.html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