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改变现状的行家手册</w:t>
      </w:r>
    </w:p>
    <w:p>
      <w:r>
        <w:rPr>
          <w:rFonts w:ascii="宋体" w:hAnsi="宋体" w:eastAsia="宋体"/>
          <w:sz w:val="24"/>
        </w:rPr>
        <w:t>查理·班德勒，威尔·麦可达纳德合著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改变现状的行家手册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查理·班德勒，威尔·麦可达纳德合著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本书出售、求购地址：https://www.jiaokey.com/book/detail/12333994.html</w:t>
      </w:r>
    </w:p>
    <w:p>
      <w:r>
        <w:t>更多相关图书推荐：https://www.jiaokey.com</w:t>
      </w:r>
    </w:p>
    <w:p>
      <w:r>
        <w:t>查理·班德勒，威尔·麦可达纳德合著 其他作品：https://www.jiaokey.com/tag/查理·班德勒，威尔·麦可达纳德合著.html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关键词搜索：https://www.jiaokey.com/tag/改变现状的行家手册.html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