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  逻辑与趋势</w:t>
      </w:r>
    </w:p>
    <w:p>
      <w:r>
        <w:rPr>
          <w:rFonts w:ascii="宋体" w:hAnsi="宋体" w:eastAsia="宋体"/>
          <w:sz w:val="24"/>
        </w:rPr>
        <w:t>（美）格雷格·N·格雷戈里奥（GregN.Gregoriou），卡琳·L·纽豪瑟（KarynL.Nauhauser）编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  逻辑与趋势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（美）格雷格·N·格雷戈里奥（GregN.Gregoriou），卡琳·L·纽豪瑟（KarynL.Nauhauser）编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本书出售、求购地址：https://www.jiaokey.com/book/detail/12332770.html</w:t>
      </w:r>
    </w:p>
    <w:p>
      <w:r>
        <w:t>更多相关图书推荐：https://www.jiaokey.com</w:t>
      </w:r>
    </w:p>
    <w:p>
      <w:r>
        <w:t>（美）格雷格·N·格雷戈里奥（GregN.Gregoriou），卡琳·L·纽豪瑟（KarynL.Nauhauser）编 其他作品：https://www.jiaokey.com/tag/（美）格雷格·N·格雷戈里奥（GregN.Gregoriou），卡琳·L·纽豪瑟（KarynL.Nauhauser）编.html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关键词搜索：https://www.jiaokey.com/tag/企业并购  逻辑与趋势.html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