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普通图书编目法</w:t>
      </w:r>
    </w:p>
    <w:p>
      <w:r>
        <w:rPr>
          <w:rFonts w:ascii="宋体" w:hAnsi="宋体" w:eastAsia="宋体"/>
          <w:sz w:val="24"/>
        </w:rPr>
        <w:t>黄星辉著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普通图书编目法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黄星辉著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武昌文华图书馆学专科学校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本书出售、求购地址：https://www.jiaokey.com/book/detail/12326139.html</w:t>
      </w:r>
    </w:p>
    <w:p>
      <w:r>
        <w:t>更多相关图书推荐：https://www.jiaokey.com</w:t>
      </w:r>
    </w:p>
    <w:p>
      <w:r>
        <w:t>黄星辉著 其他作品：https://www.jiaokey.com/tag/黄星辉著.html</w:t>
      </w:r>
    </w:p>
    <w:p>
      <w:r>
        <w:t>武昌文华图书馆学专科学校 出版图书：https://www.jiaokey.com/tag/武昌文华图书馆学专科学校.html</w:t>
      </w:r>
    </w:p>
    <w:p>
      <w:r>
        <w:t>关键词搜索：https://www.jiaokey.com/tag/普通图书编目法.html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