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世界贸易组织农业协议：其特点、效应、谈判及建议改革</w:t>
      </w:r>
    </w:p>
    <w:p>
      <w:r>
        <w:rPr>
          <w:rFonts w:ascii="宋体" w:hAnsi="宋体" w:eastAsia="宋体"/>
          <w:sz w:val="24"/>
        </w:rPr>
        <w:t>许国平著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世界贸易组织农业协议：其特点、效应、谈判及建议改革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TWN第三世界网络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本书出售、求购地址：https://www.jiaokey.com/book/detail/12323860.html</w:t>
      </w:r>
    </w:p>
    <w:p>
      <w:r>
        <w:t>更多相关图书推荐：https://www.jiaokey.com</w:t>
      </w:r>
    </w:p>
    <w:p>
      <w:r>
        <w:t>许国平著 其他作品：https://www.jiaokey.com/tag/许国平著.html</w:t>
      </w:r>
    </w:p>
    <w:p>
      <w:r>
        <w:t>TWN第三世界网络 出版图书：https://www.jiaokey.com/tag/TWN第三世界网络.html</w:t>
      </w:r>
    </w:p>
    <w:p>
      <w:r>
        <w:t>关键词搜索：https://www.jiaokey.com/tag/世界贸易组织农业协议：其特点、效应、谈判及建议改革.html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