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报告责任  政府财务报告目标及我国政府会计和财务报告改革</w:t>
      </w:r>
    </w:p>
    <w:p>
      <w:r>
        <w:rPr>
          <w:rFonts w:ascii="宋体" w:hAnsi="宋体" w:eastAsia="宋体"/>
          <w:sz w:val="24"/>
        </w:rPr>
        <w:t>郭彤撰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报告责任  政府财务报告目标及我国政府会计和财务报告改革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本书出售、求购地址：https://www.jiaokey.com/book/detail/12321937.html</w:t>
      </w:r>
    </w:p>
    <w:p>
      <w:r>
        <w:t>更多相关图书推荐：https://www.jiaokey.com</w:t>
      </w:r>
    </w:p>
    <w:p>
      <w:r>
        <w:t>郭彤撰 其他作品：https://www.jiaokey.com/tag/郭彤撰.html</w:t>
      </w:r>
    </w:p>
    <w:p>
      <w:r>
        <w:t>中国人民大学商学院 出版图书：https://www.jiaokey.com/tag/中国人民大学商学院.html</w:t>
      </w:r>
    </w:p>
    <w:p>
      <w:r>
        <w:t>关键词搜索：https://www.jiaokey.com/tag/报告责任  政府财务报告目标及我国政府会计和财务报告改革.html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