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台湾政商杂志读者之生活型态与广告态度研究</w:t>
      </w:r>
    </w:p>
    <w:p>
      <w:r>
        <w:rPr>
          <w:rFonts w:ascii="宋体" w:hAnsi="宋体" w:eastAsia="宋体"/>
          <w:sz w:val="24"/>
        </w:rPr>
        <w:t>卢进贤撰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台湾政商杂志读者之生活型态与广告态度研究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本书出售、求购地址：https://www.jiaokey.com/book/detail/12321915.html</w:t>
      </w:r>
    </w:p>
    <w:p>
      <w:r>
        <w:t>更多相关图书推荐：https://www.jiaokey.com</w:t>
      </w:r>
    </w:p>
    <w:p>
      <w:r>
        <w:t>卢进贤撰 其他作品：https://www.jiaokey.com/tag/卢进贤撰.html</w:t>
      </w:r>
    </w:p>
    <w:p>
      <w:r>
        <w:t>国立台湾大学商学研究所 出版图书：https://www.jiaokey.com/tag/国立台湾大学商学研究所.html</w:t>
      </w:r>
    </w:p>
    <w:p>
      <w:r>
        <w:t>关键词搜索：https://www.jiaokey.com/tag/台湾政商杂志读者之生活型态与广告态度研究.html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