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事件研究法：财务与会计实证研究必备</w:t>
      </w:r>
    </w:p>
    <w:p>
      <w:r>
        <w:rPr>
          <w:rFonts w:ascii="宋体" w:hAnsi="宋体" w:eastAsia="宋体"/>
          <w:sz w:val="24"/>
        </w:rPr>
        <w:t>沈中华，李建然著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事件研究法：财务与会计实证研究必备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沈中华，李建然著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本书出售、求购地址：https://www.jiaokey.com/book/detail/12321815.html</w:t>
      </w:r>
    </w:p>
    <w:p>
      <w:r>
        <w:t>更多相关图书推荐：https://www.jiaokey.com</w:t>
      </w:r>
    </w:p>
    <w:p>
      <w:r>
        <w:t>沈中华，李建然著 其他作品：https://www.jiaokey.com/tag/沈中华，李建然著.html</w:t>
      </w:r>
    </w:p>
    <w:p>
      <w:r>
        <w:t>华泰文化事业公司 出版图书：https://www.jiaokey.com/tag/华泰文化事业公司.html</w:t>
      </w:r>
    </w:p>
    <w:p>
      <w:r>
        <w:t>关键词搜索：https://www.jiaokey.com/tag/事件研究法：财务与会计实证研究必备.html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