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怎样才能做好毛红茶</w:t>
      </w:r>
    </w:p>
    <w:p>
      <w:r>
        <w:rPr>
          <w:rFonts w:ascii="宋体" w:hAnsi="宋体" w:eastAsia="宋体"/>
          <w:sz w:val="24"/>
        </w:rPr>
        <w:t>中国茶业公司中南区公司编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怎样才能做好毛红茶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中国茶业公司中南区公司编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本书出售、求购地址：https://www.jiaokey.com/book/detail/12319795.html</w:t>
      </w:r>
    </w:p>
    <w:p>
      <w:r>
        <w:t>更多相关图书推荐：https://www.jiaokey.com</w:t>
      </w:r>
    </w:p>
    <w:p>
      <w:r>
        <w:t>中国茶业公司中南区公司编 其他作品：https://www.jiaokey.com/tag/中国茶业公司中南区公司编.html</w:t>
      </w:r>
    </w:p>
    <w:p>
      <w:r>
        <w:t>关键词搜索：https://www.jiaokey.com/tag/怎样才能做好毛红茶.html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