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光线第一  风光摄影的黄金法则</w:t>
      </w:r>
    </w:p>
    <w:p>
      <w:r>
        <w:rPr>
          <w:rFonts w:ascii="宋体" w:hAnsi="宋体" w:eastAsia="宋体"/>
          <w:sz w:val="24"/>
        </w:rPr>
        <w:t>（英）乔·科尼什著；洪钢，俞一骐，洪小理，丁俊译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光线第一  风光摄影的黄金法则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（英）乔·科尼什著；洪钢，俞一骐，洪小理，丁俊译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本书出售、求购地址：https://www.jiaokey.com/book/detail/12317653.html</w:t>
      </w:r>
    </w:p>
    <w:p>
      <w:r>
        <w:t>更多相关图书推荐：https://www.jiaokey.com</w:t>
      </w:r>
    </w:p>
    <w:p>
      <w:r>
        <w:t>（英）乔·科尼什著；洪钢，俞一骐，洪小理，丁俊译 其他作品：https://www.jiaokey.com/tag/（英）乔·科尼什著；洪钢，俞一骐，洪小理，丁俊译.html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关键词搜索：https://www.jiaokey.com/tag/光线第一  风光摄影的黄金法则.html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