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HONET综合业务接入网操作手册  第2卷  数据配置  第3分册  设备配置</w:t>
      </w:r>
    </w:p>
    <w:p>
      <w:r>
        <w:rPr>
          <w:rFonts w:ascii="宋体" w:hAnsi="宋体" w:eastAsia="宋体"/>
          <w:sz w:val="24"/>
        </w:rPr>
        <w:t>赵巾巾主编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HONET综合业务接入网操作手册  第2卷  数据配置  第3分册  设备配置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赵巾巾主编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深圳市华为技术有限公司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本书出售、求购地址：https://www.jiaokey.com/book/detail/12315360.html</w:t>
      </w:r>
    </w:p>
    <w:p>
      <w:r>
        <w:t>更多相关图书推荐：https://www.jiaokey.com</w:t>
      </w:r>
    </w:p>
    <w:p>
      <w:r>
        <w:t>赵巾巾主编 其他作品：https://www.jiaokey.com/tag/赵巾巾主编.html</w:t>
      </w:r>
    </w:p>
    <w:p>
      <w:r>
        <w:t>深圳市华为技术有限公司 出版图书：https://www.jiaokey.com/tag/深圳市华为技术有限公司.html</w:t>
      </w:r>
    </w:p>
    <w:p>
      <w:r>
        <w:t>关键词搜索：https://www.jiaokey.com/tag/HONET综合业务接入网操作手册  第2卷  数据配置  第3分册  设备配置.html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