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微分形式：在场论上的应用  东北工学院讲义</w:t>
      </w:r>
    </w:p>
    <w:p>
      <w:r>
        <w:rPr>
          <w:rFonts w:ascii="宋体" w:hAnsi="宋体" w:eastAsia="宋体"/>
          <w:sz w:val="24"/>
        </w:rPr>
        <w:t>王运达编译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微分形式：在场论上的应用  东北工学院讲义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本书出售、求购地址：https://www.jiaokey.com/book/detail/12315355.html</w:t>
      </w:r>
    </w:p>
    <w:p>
      <w:r>
        <w:t>更多相关图书推荐：https://www.jiaokey.com</w:t>
      </w:r>
    </w:p>
    <w:p>
      <w:r>
        <w:t>王运达编译 其他作品：https://www.jiaokey.com/tag/王运达编译.html</w:t>
      </w:r>
    </w:p>
    <w:p>
      <w:r>
        <w:t>东北工学院 出版图书：https://www.jiaokey.com/tag/东北工学院.html</w:t>
      </w:r>
    </w:p>
    <w:p>
      <w:r>
        <w:t>关键词搜索：https://www.jiaokey.com/tag/微分形式：在场论上的应用  东北工学院讲义.html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