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腹部外科疾病诊断纲要</w:t>
      </w:r>
    </w:p>
    <w:p>
      <w:r>
        <w:rPr>
          <w:rFonts w:ascii="宋体" w:hAnsi="宋体" w:eastAsia="宋体"/>
          <w:sz w:val="24"/>
        </w:rPr>
        <w:t>（美）哈代（J.A.Hardy）撰；韩积义译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腹部外科疾病诊断纲要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（美）哈代（J.A.Hardy）撰；韩积义译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本书出售、求购地址：https://www.jiaokey.com/book/detail/12313620.html</w:t>
      </w:r>
    </w:p>
    <w:p>
      <w:r>
        <w:t>更多相关图书推荐：https://www.jiaokey.com</w:t>
      </w:r>
    </w:p>
    <w:p>
      <w:r>
        <w:t>（美）哈代（J.A.Hardy）撰；韩积义译 其他作品：https://www.jiaokey.com/tag/（美）哈代（J.A.Hardy）撰；韩积义译.html</w:t>
      </w:r>
    </w:p>
    <w:p>
      <w:r>
        <w:t>华东医务生活社 出版图书：https://www.jiaokey.com/tag/华东医务生活社.html</w:t>
      </w:r>
    </w:p>
    <w:p>
      <w:r>
        <w:t>关键词搜索：https://www.jiaokey.com/tag/腹部外科疾病诊断纲要.html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