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皮肤病治疗袖珍指南</w:t>
      </w:r>
    </w:p>
    <w:p>
      <w:r>
        <w:rPr>
          <w:rFonts w:ascii="宋体" w:hAnsi="宋体" w:eastAsia="宋体"/>
          <w:sz w:val="24"/>
        </w:rPr>
        <w:t>（美）克德尔，（美）罗马尼里，（美）特伦特著；李恒进译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皮肤病治疗袖珍指南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（美）克德尔，（美）罗马尼里，（美）特伦特著；李恒进译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本书出售、求购地址：https://www.jiaokey.com/book/detail/12306588.html</w:t>
      </w:r>
    </w:p>
    <w:p>
      <w:r>
        <w:t>更多相关图书推荐：https://www.jiaokey.com</w:t>
      </w:r>
    </w:p>
    <w:p>
      <w:r>
        <w:t>（美）克德尔，（美）罗马尼里，（美）特伦特著；李恒进译 其他作品：https://www.jiaokey.com/tag/（美）克德尔，（美）罗马尼里，（美）特伦特著；李恒进译.html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关键词搜索：https://www.jiaokey.com/tag/皮肤病治疗袖珍指南.html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