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2000  下</w:t>
      </w:r>
    </w:p>
    <w:p>
      <w:r>
        <w:rPr>
          <w:rFonts w:ascii="宋体" w:hAnsi="宋体" w:eastAsia="宋体"/>
          <w:sz w:val="24"/>
        </w:rPr>
        <w:t>IMI（创研）市场信息研究所，北京广播学院广告学系，人民日报华泰管理有限公司等编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IMI（创研）市场信息研究所，北京广播学院广告学系，人民日报华泰管理有限公司等编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本书出售、求购地址：https://www.jiaokey.com/book/detail/12305451.html</w:t>
      </w:r>
    </w:p>
    <w:p>
      <w:r>
        <w:t>更多相关图书推荐：https://www.jiaokey.com</w:t>
      </w:r>
    </w:p>
    <w:p>
      <w:r>
        <w:t>IMI（创研）市场信息研究所，北京广播学院广告学系，人民日报华泰管理有限公司等编 其他作品：https://www.jiaokey.com/tag/IMI（创研）市场信息研究所，北京广播学院广告学系，人民日报华泰管理有限公司等编.html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