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变压器与感应调压器设计法</w:t>
      </w:r>
    </w:p>
    <w:p>
      <w:r>
        <w:rPr>
          <w:rFonts w:ascii="宋体" w:hAnsi="宋体" w:eastAsia="宋体"/>
          <w:sz w:val="24"/>
        </w:rPr>
        <w:t>姚可均编译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变压器与感应调压器设计法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姚可均编译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建新联合出版社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本书出售、求购地址：https://www.jiaokey.com/book/detail/12299957.html</w:t>
      </w:r>
    </w:p>
    <w:p>
      <w:r>
        <w:t>更多相关图书推荐：https://www.jiaokey.com</w:t>
      </w:r>
    </w:p>
    <w:p>
      <w:r>
        <w:t>姚可均编译 其他作品：https://www.jiaokey.com/tag/姚可均编译.html</w:t>
      </w:r>
    </w:p>
    <w:p>
      <w:r>
        <w:t>建新联合出版社 出版图书：https://www.jiaokey.com/tag/建新联合出版社.html</w:t>
      </w:r>
    </w:p>
    <w:p>
      <w:r>
        <w:t>关键词搜索：https://www.jiaokey.com/tag/变压器与感应调压器设计法.html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