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  逻辑与趋势</w:t>
      </w:r>
    </w:p>
    <w:p>
      <w:r>
        <w:rPr>
          <w:rFonts w:ascii="宋体" w:hAnsi="宋体" w:eastAsia="宋体"/>
          <w:sz w:val="24"/>
        </w:rPr>
        <w:t>（美）格雷戈里奥，纽豪瑟等编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  逻辑与趋势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（美）格雷戈里奥，纽豪瑟等编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本书出售、求购地址：https://www.jiaokey.com/book/detail/12299336.html</w:t>
      </w:r>
    </w:p>
    <w:p>
      <w:r>
        <w:t>更多相关图书推荐：https://www.jiaokey.com</w:t>
      </w:r>
    </w:p>
    <w:p>
      <w:r>
        <w:t>（美）格雷戈里奥，纽豪瑟等编 其他作品：https://www.jiaokey.com/tag/（美）格雷戈里奥，纽豪瑟等编.html</w:t>
      </w:r>
    </w:p>
    <w:p>
      <w:r>
        <w:t>北京大学出版社 出版图书：https://www.jiaokey.com/tag/北京大学出版社.html</w:t>
      </w:r>
    </w:p>
    <w:p>
      <w:r>
        <w:t>关键词搜索：https://www.jiaokey.com/tag/企业并购  逻辑与趋势.html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