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公民营机构电脑系统整体规画作业程序暨参考文件汇编</w:t>
      </w:r>
    </w:p>
    <w:p>
      <w:r>
        <w:rPr>
          <w:rFonts w:ascii="宋体" w:hAnsi="宋体" w:eastAsia="宋体"/>
          <w:sz w:val="24"/>
        </w:rPr>
        <w:t>张铎编著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公民营机构电脑系统整体规画作业程序暨参考文件汇编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本书出售、求购地址：https://www.jiaokey.com/book/detail/12299183.html</w:t>
      </w:r>
    </w:p>
    <w:p>
      <w:r>
        <w:t>更多相关图书推荐：https://www.jiaokey.com</w:t>
      </w:r>
    </w:p>
    <w:p>
      <w:r>
        <w:t>张铎编著 其他作品：https://www.jiaokey.com/tag/张铎编著.html</w:t>
      </w:r>
    </w:p>
    <w:p>
      <w:r>
        <w:t>松岗电脑图书资料公司 出版图书：https://www.jiaokey.com/tag/松岗电脑图书资料公司.html</w:t>
      </w:r>
    </w:p>
    <w:p>
      <w:r>
        <w:t>关键词搜索：https://www.jiaokey.com/tag/公民营机构电脑系统整体规画作业程序暨参考文件汇编.html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