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  PAL制原理和接收机电路</w:t>
      </w:r>
    </w:p>
    <w:p>
      <w:r>
        <w:rPr>
          <w:rFonts w:ascii="宋体" w:hAnsi="宋体" w:eastAsia="宋体"/>
          <w:sz w:val="24"/>
        </w:rPr>
        <w:t>（英）G.H.赫特森著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  PAL制原理和接收机电路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（英）G.H.赫特森著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本书出售、求购地址：https://www.jiaokey.com/book/detail/12297825.html</w:t>
      </w:r>
    </w:p>
    <w:p>
      <w:r>
        <w:t>更多相关图书推荐：https://www.jiaokey.com</w:t>
      </w:r>
    </w:p>
    <w:p>
      <w:r>
        <w:t>（英）G.H.赫特森著 其他作品：https://www.jiaokey.com/tag/（英）G.H.赫特森著.html</w:t>
      </w:r>
    </w:p>
    <w:p>
      <w:r>
        <w:t>国防工业出版社 出版图书：https://www.jiaokey.com/tag/国防工业出版社.html</w:t>
      </w:r>
    </w:p>
    <w:p>
      <w:r>
        <w:t>关键词搜索：https://www.jiaokey.com/tag/彩色电视机原理  PAL制原理和接收机电路.html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