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清洁农作和林作在低碳经济中的作用</w:t>
      </w:r>
    </w:p>
    <w:p>
      <w:r>
        <w:rPr>
          <w:rFonts w:ascii="宋体" w:hAnsi="宋体" w:eastAsia="宋体"/>
          <w:sz w:val="24"/>
        </w:rPr>
        <w:t>（美）Z.威利，B.查米迪斯主编；林而达，郭李萍，李迎春等译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清洁农作和林作在低碳经济中的作用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（美）Z.威利，B.查米迪斯主编；林而达，郭李萍，李迎春等译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本书出售、求购地址：https://www.jiaokey.com/book/detail/12295901.html</w:t>
      </w:r>
    </w:p>
    <w:p>
      <w:r>
        <w:t>更多相关图书推荐：https://www.jiaokey.com</w:t>
      </w:r>
    </w:p>
    <w:p>
      <w:r>
        <w:t>（美）Z.威利，B.查米迪斯主编；林而达，郭李萍，李迎春等译 其他作品：https://www.jiaokey.com/tag/（美）Z.威利，B.查米迪斯主编；林而达，郭李萍，李迎春等译.html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关键词搜索：https://www.jiaokey.com/tag/清洁农作和林作在低碳经济中的作用.html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