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加强财政财务管理提高利用外资水平</w:t>
      </w:r>
    </w:p>
    <w:p>
      <w:r>
        <w:rPr>
          <w:rFonts w:ascii="宋体" w:hAnsi="宋体" w:eastAsia="宋体"/>
          <w:sz w:val="24"/>
        </w:rPr>
        <w:t>财政部工业交通司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加强财政财务管理提高利用外资水平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财政部工业交通司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本书出售、求购地址：https://www.jiaokey.com/book/detail/12287594.html</w:t>
      </w:r>
    </w:p>
    <w:p>
      <w:r>
        <w:t>更多相关图书推荐：https://www.jiaokey.com</w:t>
      </w:r>
    </w:p>
    <w:p>
      <w:r>
        <w:t>财政部工业交通司 其他作品：https://www.jiaokey.com/tag/财政部工业交通司.html</w:t>
      </w:r>
    </w:p>
    <w:p>
      <w:r>
        <w:t>关键词搜索：https://www.jiaokey.com/tag/加强财政财务管理提高利用外资水平.html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