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第四十二集  中国环境现状和科学技术水平及与国外的差距</w:t>
      </w:r>
    </w:p>
    <w:p>
      <w:r>
        <w:rPr>
          <w:rFonts w:ascii="宋体" w:hAnsi="宋体" w:eastAsia="宋体"/>
          <w:sz w:val="24"/>
        </w:rPr>
        <w:t>不中国科协二000年的中国研究办工室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第四十二集  中国环境现状和科学技术水平及与国外的差距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不中国科协二000年的中国研究办工室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本书出售、求购地址：https://www.jiaokey.com/book/detail/12284593.html</w:t>
      </w:r>
    </w:p>
    <w:p>
      <w:r>
        <w:t>更多相关图书推荐：https://www.jiaokey.com</w:t>
      </w:r>
    </w:p>
    <w:p>
      <w:r>
        <w:t>不中国科协二000年的中国研究办工室 其他作品：https://www.jiaokey.com/tag/不中国科协二000年的中国研究办工室.html</w:t>
      </w:r>
    </w:p>
    <w:p>
      <w:r>
        <w:t>关键词搜索：https://www.jiaokey.com/tag/2000年的中国研究资料  第四十二集  中国环境现状和科学技术水平及与国外的差距.html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