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当前形势与深化改革历史唯物主义与当代现实第5期讲习班报告集</w:t>
      </w:r>
    </w:p>
    <w:p>
      <w:r>
        <w:rPr>
          <w:rFonts w:ascii="宋体" w:hAnsi="宋体" w:eastAsia="宋体"/>
          <w:sz w:val="24"/>
        </w:rPr>
        <w:t>中国历史唯物主义研究会编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当前形势与深化改革历史唯物主义与当代现实第5期讲习班报告集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中国历史唯物主义研究会编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中国历史唯物主义研究会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本书出售、求购地址：https://www.jiaokey.com/book/detail/12279722.html</w:t>
      </w:r>
    </w:p>
    <w:p>
      <w:r>
        <w:t>更多相关图书推荐：https://www.jiaokey.com</w:t>
      </w:r>
    </w:p>
    <w:p>
      <w:r>
        <w:t>中国历史唯物主义研究会编 其他作品：https://www.jiaokey.com/tag/中国历史唯物主义研究会编.html</w:t>
      </w:r>
    </w:p>
    <w:p>
      <w:r>
        <w:t>中国历史唯物主义研究会 出版图书：https://www.jiaokey.com/tag/中国历史唯物主义研究会.html</w:t>
      </w:r>
    </w:p>
    <w:p>
      <w:r>
        <w:t>关键词搜索：https://www.jiaokey.com/tag/当前形势与深化改革历史唯物主义与当代现实第5期讲习班报告集.html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