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重商制度及其历史意义</w:t>
      </w:r>
    </w:p>
    <w:p>
      <w:r>
        <w:rPr>
          <w:rFonts w:ascii="宋体" w:hAnsi="宋体" w:eastAsia="宋体"/>
          <w:sz w:val="24"/>
        </w:rPr>
        <w:t>斯莫拉著；郑学稼译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重商制度及其历史意义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斯莫拉著；郑学稼译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本书出售、求购地址：https://www.jiaokey.com/book/detail/12272377.html</w:t>
      </w:r>
    </w:p>
    <w:p>
      <w:r>
        <w:t>更多相关图书推荐：https://www.jiaokey.com</w:t>
      </w:r>
    </w:p>
    <w:p>
      <w:r>
        <w:t>斯莫拉著；郑学稼译 其他作品：https://www.jiaokey.com/tag/斯莫拉著；郑学稼译.html</w:t>
      </w:r>
    </w:p>
    <w:p>
      <w:r>
        <w:t>商务印书馆 出版图书：https://www.jiaokey.com/tag/商务印书馆.html</w:t>
      </w:r>
    </w:p>
    <w:p>
      <w:r>
        <w:t>关键词搜索：https://www.jiaokey.com/tag/重商制度及其历史意义.html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