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</w:t>
      </w:r>
    </w:p>
    <w:p>
      <w:r>
        <w:rPr>
          <w:rFonts w:ascii="宋体" w:hAnsi="宋体" w:eastAsia="宋体"/>
          <w:sz w:val="24"/>
        </w:rPr>
        <w:t>邬锡鑫选注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邬锡鑫选注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乐府诗(地点:中国年代:两汉时代)乐府诗(地点:中国年代:魏晋南北朝时代)乐府诗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本书出售、求购地址：https://www.jiaokey.com/book/detail/12271634.html</w:t>
      </w:r>
    </w:p>
    <w:p>
      <w:r>
        <w:t>更多相关图书推荐：https://www.jiaokey.com</w:t>
      </w:r>
    </w:p>
    <w:p>
      <w:r>
        <w:t>邬锡鑫选注 其他作品：https://www.jiaokey.com/tag/邬锡鑫选注.html</w:t>
      </w:r>
    </w:p>
    <w:p>
      <w:r>
        <w:t>贵阳:贵州人民出版社,2000.11 出版图书：https://www.jiaokey.com/tag/贵阳:贵州人民出版社,2000.11.html</w:t>
      </w:r>
    </w:p>
    <w:p>
      <w:r>
        <w:t>关键词搜索：https://www.jiaokey.com/tag/乐府诗(地点:中国年代:两汉时代)乐府诗(地点:中国年代:魏晋南北朝时代)乐府诗.html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