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JAVA平台性能策略与技巧</w:t>
      </w:r>
    </w:p>
    <w:p>
      <w:r>
        <w:rPr>
          <w:rFonts w:ascii="宋体" w:hAnsi="宋体" w:eastAsia="宋体"/>
          <w:sz w:val="24"/>
        </w:rPr>
        <w:t>Steve Wilson，Jeff Kesselman著；须晨，方梁译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JAVA平台性能策略与技巧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Wilson，Jeff Kesselman著；须晨，方梁译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北京：北京中软电子出版社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本书出售、求购地址：https://www.jiaokey.com/book/detail/12271421.html</w:t>
      </w:r>
    </w:p>
    <w:p>
      <w:r>
        <w:t>更多相关图书推荐：https://www.jiaokey.com</w:t>
      </w:r>
    </w:p>
    <w:p>
      <w:r>
        <w:t>Steve Wilson，Jeff Kesselman著；须晨，方梁译 其他作品：https://www.jiaokey.com/tag/Steve Wilson，Jeff Kesselman著；须晨，方梁译.html</w:t>
      </w:r>
    </w:p>
    <w:p>
      <w:r>
        <w:t>北京：北京中软电子出版社 出版图书：https://www.jiaokey.com/tag/北京：北京中软电子出版社.html</w:t>
      </w:r>
    </w:p>
    <w:p>
      <w:r>
        <w:t>关键词搜索：https://www.jiaokey.com/tag/JAVA平台性能策略与技巧.html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