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北属时期的越南中越关系史之一</w:t>
      </w:r>
    </w:p>
    <w:p>
      <w:r>
        <w:rPr>
          <w:rFonts w:ascii="宋体" w:hAnsi="宋体" w:eastAsia="宋体"/>
          <w:sz w:val="24"/>
        </w:rPr>
        <w:t>吕士朋著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北属时期的越南中越关系史之一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吕士朋著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本书出售、求购地址：https://www.jiaokey.com/book/detail/12262157.html</w:t>
      </w:r>
    </w:p>
    <w:p>
      <w:r>
        <w:t>更多相关图书推荐：https://www.jiaokey.com</w:t>
      </w:r>
    </w:p>
    <w:p>
      <w:r>
        <w:t>吕士朋著 其他作品：https://www.jiaokey.com/tag/吕士朋著.html</w:t>
      </w:r>
    </w:p>
    <w:p>
      <w:r>
        <w:t>华世出版社 出版图书：https://www.jiaokey.com/tag/华世出版社.html</w:t>
      </w:r>
    </w:p>
    <w:p>
      <w:r>
        <w:t>关键词搜索：https://www.jiaokey.com/tag/北属时期的越南中越关系史之一.html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