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党风廉政建设责任制基本知识50题</w:t>
      </w:r>
    </w:p>
    <w:p>
      <w:r>
        <w:rPr>
          <w:rFonts w:ascii="宋体" w:hAnsi="宋体" w:eastAsia="宋体"/>
          <w:sz w:val="24"/>
        </w:rPr>
        <w:t>中共深圳市委党风和廉政建设责任制领导小组办公室编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党风廉政建设责任制基本知识50题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中共深圳市委党风和廉政建设责任制领导小组办公室编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本书出售、求购地址：https://www.jiaokey.com/book/detail/12259870.html</w:t>
      </w:r>
    </w:p>
    <w:p>
      <w:r>
        <w:t>更多相关图书推荐：https://www.jiaokey.com</w:t>
      </w:r>
    </w:p>
    <w:p>
      <w:r>
        <w:t>中共深圳市委党风和廉政建设责任制领导小组办公室编 其他作品：https://www.jiaokey.com/tag/中共深圳市委党风和廉政建设责任制领导小组办公室编.html</w:t>
      </w:r>
    </w:p>
    <w:p>
      <w:r>
        <w:t>关键词搜索：https://www.jiaokey.com/tag/党风廉政建设责任制基本知识50题.html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